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>La maladie de dilatation du proventricule (PDD)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La PDD est une maladie virale caus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 par le bornavirus aviaire (ABV). Elle touche principalement les Psittacid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s, et tout particuli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rement les Gris du Gabon, les Aras, les Conures, les Cacato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s et les Amazones, mais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galement les Canaris et les Passeriformes. 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est une maladie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’é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volution lente, souvent mortelle.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La p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riode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incubation est g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n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ralement comprise entre 3 semaines et 3 mois, mais une forme plus chronique de la maladie est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galement possible, avec une apparition des sympt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ô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mes au bout de plusieurs ann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pt-PT"/>
        </w:rPr>
        <w:t>es.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La transmission se fait via les selles, la salive ou les s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cr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tions nasales, mais une transmission par voie a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rosole est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galement suspect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e. Tout contact d</w:t>
      </w:r>
      <w:r>
        <w:rPr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 oiseau sain avec un oiseau malade n'entra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>î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ne pas forc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ment de contamination, mais il faut n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anmoins s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parer les oiseaux malades des autres.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30"/>
          <w:szCs w:val="30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Sympt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mes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bornavirus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attaque au syst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nerveux digestif, et plus particuli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rement des nerfs responsables du bon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 f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onctionnement du syst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digestif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oiseau. 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digestifs les plus fr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quents seront donc un amaigrissement, de la diarrh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e, la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sence de graines non dig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dans les fientes (maldigestion) ou un oiseau qui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gurgite.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Une forme neurologique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possible avec des signes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atteintes du syst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nerveux plus graves, telles que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ataxie (votre animal a du mal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aliser des mouvements comme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habitude, il semble moins coordonn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e), un changement de comportement et des signes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inflammation des nerfs (n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vrite).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Les oiseaux malades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senter du picage, des troubles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cardiaques ou devenir aveugles.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30"/>
          <w:szCs w:val="30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Diagnostic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diagnostic de cette maladie est difficile, mais on peut suspecter cette maladie par observation des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mes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nonc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ci-dessus, mais il faudra confirmer le diagnostic. Il est possible pour cela de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aliser des radiographies (avec ou sans contraste) afin de pouvoir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observer une dilatation du proventricule. Un test PCR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 disponible et permet de confirmer le diagnostic. Ce test est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partir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prise de sang ou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couvillons choanal et cloacal. Le diagnostic de certitude se fait sur biopsies.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30"/>
          <w:szCs w:val="30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Traitement</w:t>
      </w:r>
    </w:p>
    <w:p>
      <w:pPr>
        <w:pStyle w:val="Par défaut"/>
        <w:suppressAutoHyphens w:val="1"/>
        <w:spacing w:before="0" w:line="240" w:lineRule="auto"/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Il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existe pas de traitement 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cifique contre la PDD. Un traitement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base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anti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-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inflammatoires et parfois une hospitalisation sont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cessaires. Certains oiseaux, bien que positifs, restent asymptomatiques.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